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6615" w:rsidRDefault="00716615" w:rsidP="00716615">
      <w:pPr>
        <w:spacing w:after="200" w:line="276" w:lineRule="auto"/>
        <w:jc w:val="center"/>
        <w:rPr>
          <w:rFonts w:ascii="Calibri" w:eastAsia="Times New Roman" w:hAnsi="Calibri" w:cs="Times New Roman"/>
          <w:b/>
        </w:rPr>
      </w:pPr>
      <w:r w:rsidRPr="00716615">
        <w:rPr>
          <w:rFonts w:ascii="Calibri" w:eastAsia="Times New Roman" w:hAnsi="Calibri" w:cs="Times New Roman"/>
          <w:b/>
        </w:rPr>
        <w:t>Psychology and Philosophical Aesthetics</w:t>
      </w:r>
    </w:p>
    <w:p w:rsidR="00716615" w:rsidRPr="00716615" w:rsidRDefault="00716615" w:rsidP="00716615">
      <w:pPr>
        <w:spacing w:after="200" w:line="276" w:lineRule="auto"/>
        <w:jc w:val="center"/>
        <w:rPr>
          <w:rFonts w:ascii="Calibri" w:eastAsia="Times New Roman" w:hAnsi="Calibri" w:cs="Times New Roman"/>
        </w:rPr>
      </w:pPr>
      <w:r w:rsidRPr="00716615">
        <w:rPr>
          <w:rFonts w:ascii="Calibri" w:eastAsia="Times New Roman" w:hAnsi="Calibri" w:cs="Times New Roman"/>
        </w:rPr>
        <w:t>(Note: This is an unedited version of a brief essay I wrote in 201</w:t>
      </w:r>
      <w:r>
        <w:rPr>
          <w:rFonts w:ascii="Calibri" w:eastAsia="Times New Roman" w:hAnsi="Calibri" w:cs="Times New Roman"/>
        </w:rPr>
        <w:t>4</w:t>
      </w:r>
      <w:bookmarkStart w:id="0" w:name="_GoBack"/>
      <w:bookmarkEnd w:id="0"/>
      <w:r w:rsidRPr="00716615">
        <w:rPr>
          <w:rFonts w:ascii="Calibri" w:eastAsia="Times New Roman" w:hAnsi="Calibri" w:cs="Times New Roman"/>
        </w:rPr>
        <w:t xml:space="preserve"> for </w:t>
      </w:r>
      <w:r w:rsidRPr="00716615">
        <w:rPr>
          <w:rFonts w:ascii="Calibri" w:eastAsia="Times New Roman" w:hAnsi="Calibri" w:cs="Times New Roman"/>
          <w:i/>
        </w:rPr>
        <w:t>Oculus</w:t>
      </w:r>
      <w:r w:rsidRPr="00716615">
        <w:rPr>
          <w:rFonts w:ascii="Calibri" w:eastAsia="Times New Roman" w:hAnsi="Calibri" w:cs="Times New Roman"/>
        </w:rPr>
        <w:t>, the journal of the Edward Wind Society.)</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There is a long tradition of scepticism about the role of scientific investigation in our understanding of the aesthetic domain. Kant claimed ‘there is no science of the beautiful, but only critique’ (1790/1987: 172), and Wittgenstein wrote that ‘aesthetic questions have nothing to do with psychological experiments, but are answered in an entirely different way’ (1970: 17). Nevertheless, many contemporary philosophers who work on aesthetic issues engage seriously with the sciences—especially psychology and the related set of disciplines that fall under the heading of cognitive science. In this brief note I shall sketch three ways in which contemporary philosophical aesthetics engages with the sciences.</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Some contemporary aestheticians are </w:t>
      </w:r>
      <w:r w:rsidRPr="00716615">
        <w:rPr>
          <w:rFonts w:ascii="Calibri" w:eastAsia="Times New Roman" w:hAnsi="Calibri" w:cs="Times New Roman"/>
          <w:i/>
        </w:rPr>
        <w:t>inspired</w:t>
      </w:r>
      <w:r w:rsidRPr="00716615">
        <w:rPr>
          <w:rFonts w:ascii="Calibri" w:eastAsia="Times New Roman" w:hAnsi="Calibri" w:cs="Times New Roman"/>
        </w:rPr>
        <w:t xml:space="preserve"> by the sciences. As Jonathan Weinberg and I put it in a paper some years ago, contemporary aestheticians are moving away from a traditional ‘paradox-and-analysis model’ of philosophical investigation and towards a ‘phenomenon-and-explanation model’ (Weinberg and Meskin 2006). For example, traditional philosophical approaches to the alleged ‘paradox of fiction’ require one to sort out the apparent inconsistency between the following three propositions: 1: Emotional responses require belief in the existence of their objects. 2: We do not believe in the existence of fictional characters. 3: We have emotional responses to fictional characters. But the latter approach to philosophical investigation seeks, instead, to catalogue the relevant phenomena (including, on our account, the ambiguous attitude ordinary folk hold towards fictively-directed emotions) and then construct theories that best explain those phenomenon. The model, here, is scientific explanation rather than conceptual analysis.</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Science has not just inspired contemporary philosophers of art. A great deal of contemporary philosophical aesthetics is substantively </w:t>
      </w:r>
      <w:r w:rsidRPr="00716615">
        <w:rPr>
          <w:rFonts w:ascii="Calibri" w:eastAsia="Times New Roman" w:hAnsi="Calibri" w:cs="Times New Roman"/>
          <w:i/>
        </w:rPr>
        <w:t>informed by</w:t>
      </w:r>
      <w:r w:rsidRPr="00716615">
        <w:rPr>
          <w:rFonts w:ascii="Calibri" w:eastAsia="Times New Roman" w:hAnsi="Calibri" w:cs="Times New Roman"/>
        </w:rPr>
        <w:t xml:space="preserve"> current work in the cognitive sciences. Take that philosophical debate, mentioned above, about our emotional responses to fiction. Some of the most interesting recent work on this topic attempts to harness results from psychology and neuroscience to support the claim that our affective responses to fictional characters are both genuine and rational emotional responses (Gendler and Kosakovich 2005). A selection of work in this vein—work which explores the relevance of scientific research to such topics as judgments about art and our capacity to learn from fiction—will be published next year in a volume that comes out of a major AHRC research project that I recently finished with colleagues at Leeds, Nottingham and York (Currie, Kieran, Meskin, and Robson forthcoming).</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Is there a tension between aesthetician’s interest in psychology and the sceptical views of Kant and Wittgenstein? Perhaps there is and, if so, it looks like someone must be misguided. Some of the contributions to the aforementioned volume sound a cautionary note about aestheticians’ appeal to the sciences. But there is a way of squaring at least some of this recent interest in the sciences among aestheticians with the pronouncements of Kant and Wittgenstein. For if there is one thing that contemporary philosophers of art agree on, it is that the philosophical questions raised by art go far </w:t>
      </w:r>
      <w:r w:rsidR="00672F7E" w:rsidRPr="00716615">
        <w:rPr>
          <w:rFonts w:ascii="Calibri" w:eastAsia="Times New Roman" w:hAnsi="Calibri" w:cs="Times New Roman"/>
        </w:rPr>
        <w:lastRenderedPageBreak/>
        <w:t>beyond a</w:t>
      </w:r>
      <w:r w:rsidRPr="00716615">
        <w:rPr>
          <w:rFonts w:ascii="Calibri" w:eastAsia="Times New Roman" w:hAnsi="Calibri" w:cs="Times New Roman"/>
        </w:rPr>
        <w:t xml:space="preserve"> concern for the beautiful, and even beyond the broader domain of the aesthetic. (The existence of anti-aesthetic art such as Duchamp’s readymades is just one example which makes this point clear.) If this is right, then we could accept that psychology has nothing to do with </w:t>
      </w:r>
      <w:r w:rsidRPr="00716615">
        <w:rPr>
          <w:rFonts w:ascii="Calibri" w:eastAsia="Times New Roman" w:hAnsi="Calibri" w:cs="Times New Roman"/>
          <w:i/>
        </w:rPr>
        <w:t>aesthetic questions</w:t>
      </w:r>
      <w:r w:rsidRPr="00716615">
        <w:rPr>
          <w:rFonts w:ascii="Calibri" w:eastAsia="Times New Roman" w:hAnsi="Calibri" w:cs="Times New Roman"/>
        </w:rPr>
        <w:t xml:space="preserve"> but that, nevertheless, it has a great deal to say about significant </w:t>
      </w:r>
      <w:r w:rsidRPr="00716615">
        <w:rPr>
          <w:rFonts w:ascii="Calibri" w:eastAsia="Times New Roman" w:hAnsi="Calibri" w:cs="Times New Roman"/>
          <w:i/>
        </w:rPr>
        <w:t>artistic questions</w:t>
      </w:r>
      <w:r w:rsidRPr="00716615">
        <w:rPr>
          <w:rFonts w:ascii="Calibri" w:eastAsia="Times New Roman" w:hAnsi="Calibri" w:cs="Times New Roman"/>
        </w:rPr>
        <w:t xml:space="preserve">. That being said, I suspect Wittgenstein has overstated the case for the separation of psychology and the aesthetic. Perhaps aesthetic questions cannot be </w:t>
      </w:r>
      <w:r w:rsidRPr="00716615">
        <w:rPr>
          <w:rFonts w:ascii="Calibri" w:eastAsia="Times New Roman" w:hAnsi="Calibri" w:cs="Times New Roman"/>
          <w:i/>
        </w:rPr>
        <w:t>entirely settled</w:t>
      </w:r>
      <w:r w:rsidRPr="00716615">
        <w:rPr>
          <w:rFonts w:ascii="Calibri" w:eastAsia="Times New Roman" w:hAnsi="Calibri" w:cs="Times New Roman"/>
        </w:rPr>
        <w:t xml:space="preserve"> by psychological experiments, but it does not follow that psychological experiments have </w:t>
      </w:r>
      <w:r w:rsidRPr="00716615">
        <w:rPr>
          <w:rFonts w:ascii="Calibri" w:eastAsia="Times New Roman" w:hAnsi="Calibri" w:cs="Times New Roman"/>
          <w:i/>
        </w:rPr>
        <w:t>nothing to do with</w:t>
      </w:r>
      <w:r w:rsidRPr="00716615">
        <w:rPr>
          <w:rFonts w:ascii="Calibri" w:eastAsia="Times New Roman" w:hAnsi="Calibri" w:cs="Times New Roman"/>
        </w:rPr>
        <w:t xml:space="preserve"> answering those questions.</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In fact, the most surprising way in which contemporary aestheticians engage with scientific psychology is by doing it themselves. The experimental philosophy movement, which attempts to shed light on traditional philosophical problems using experimental methods, is little more than a decade old, and there is a dearth of work in this field on questions in aesthetics. Nevertheless, some work in </w:t>
      </w:r>
      <w:r w:rsidRPr="00716615">
        <w:rPr>
          <w:rFonts w:ascii="Calibri" w:eastAsia="Times New Roman" w:hAnsi="Calibri" w:cs="Times New Roman"/>
          <w:i/>
        </w:rPr>
        <w:t>experimental philosophical aesthetics</w:t>
      </w:r>
      <w:r w:rsidRPr="00716615">
        <w:rPr>
          <w:rFonts w:ascii="Calibri" w:eastAsia="Times New Roman" w:hAnsi="Calibri" w:cs="Times New Roman"/>
        </w:rPr>
        <w:t xml:space="preserve"> is beginning to appear in journals and at international philosophy conferences.</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So, for example, in an article recently published in the </w:t>
      </w:r>
      <w:r w:rsidRPr="00716615">
        <w:rPr>
          <w:rFonts w:ascii="Calibri" w:eastAsia="Times New Roman" w:hAnsi="Calibri" w:cs="Times New Roman"/>
          <w:i/>
        </w:rPr>
        <w:t>British Journal of Aesthetics,</w:t>
      </w:r>
      <w:r w:rsidRPr="00716615">
        <w:rPr>
          <w:rFonts w:ascii="Calibri" w:eastAsia="Times New Roman" w:hAnsi="Calibri" w:cs="Times New Roman"/>
        </w:rPr>
        <w:t xml:space="preserve"> my co-authors and I used experimental methods from the sciences, along with philosophical analysis, to undercut a sceptical challenge to traditional conceptions of canonicity and artistic judgment (Meskin, Phelan, Moore and Kieran 2013). In a 2003 study, the Cornell psychologist James Cutting showed that very brief exposure to Impressionist paintings was able to significantly shift student preferences for those paintings (Cutting 2003). Cutting concluded that mere exposure plays a significant role in canon formation and the judgment of art. Rather than relying simply on philosophical criticisms of Cutting’s arguments, we decided to investigate Cutting’s claims experimentally. Our results suggest that increased exposure to paintings does not always lead to greater liking for them. The more we exposed students to the paintings of the American ‘Painter of Light’, Thomas Kinkade, the less they liked them.  </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To take another example, Shen-yi Liao and I have adopted experimental methods from psycholinguistics to explore ordinary use of aesthetic adjectives such as ‘beautiful’, ‘ugly’ and ‘elegant’. Our results suggest that these adjectives function in surprising ways. They behave neither like relative gradable adjective, such as ‘tall’ and ‘short’, which have context-sensitive interpretations (i.e., what is tall in one context is not tall in another), nor like absolute gradable adjectives, such as ‘open’ and ‘closed’, which do not appear to exhibit context-sensitivity. Our hope is that this experimental research will ultimately provide insight into the features which distinguish aesthetic terms from non-aesthetic terms—an issue that has been of significant interest to philosophers since Frank Sibley’s important work on the topic (Sibley 1959). (For another interesting example of experimental philosophical aesthetics see Cova and Pain 2012.) It remains to be seen how far the application of experimental methods to traditional problems in the philosophy of art will take us, but I am excited by the potential of this field.</w:t>
      </w:r>
    </w:p>
    <w:p w:rsidR="00716615" w:rsidRPr="00716615" w:rsidRDefault="00716615" w:rsidP="00716615">
      <w:pPr>
        <w:spacing w:after="200" w:line="276" w:lineRule="auto"/>
        <w:rPr>
          <w:rFonts w:ascii="Calibri" w:eastAsia="Times New Roman" w:hAnsi="Calibri" w:cs="Times New Roman"/>
        </w:rPr>
      </w:pPr>
    </w:p>
    <w:p w:rsidR="00716615" w:rsidRPr="00716615" w:rsidRDefault="00716615" w:rsidP="00716615">
      <w:pPr>
        <w:spacing w:after="200" w:line="276" w:lineRule="auto"/>
        <w:rPr>
          <w:rFonts w:ascii="Calibri" w:eastAsia="Times New Roman" w:hAnsi="Calibri" w:cs="Times New Roman"/>
          <w:b/>
        </w:rPr>
      </w:pPr>
      <w:r w:rsidRPr="00716615">
        <w:rPr>
          <w:rFonts w:ascii="Calibri" w:eastAsia="Times New Roman" w:hAnsi="Calibri" w:cs="Times New Roman"/>
          <w:b/>
        </w:rPr>
        <w:t>Bibliography</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Cova, Florian, and Nicolas Pain (2012). ‘Can Folk Aesthetics Ground Aesthetic Realism?’ </w:t>
      </w:r>
      <w:r w:rsidRPr="00716615">
        <w:rPr>
          <w:rFonts w:ascii="Calibri" w:eastAsia="Times New Roman" w:hAnsi="Calibri" w:cs="Times New Roman"/>
          <w:i/>
        </w:rPr>
        <w:t xml:space="preserve">The Monist </w:t>
      </w:r>
      <w:r w:rsidRPr="00716615">
        <w:rPr>
          <w:rFonts w:ascii="Calibri" w:eastAsia="Times New Roman" w:hAnsi="Calibri" w:cs="Times New Roman"/>
        </w:rPr>
        <w:t>95(2), 243-263.</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lastRenderedPageBreak/>
        <w:t xml:space="preserve">Currie, Gregory, Matthew Kieran, Aaron Meskin, and Jon Robson eds. (forthcoming). </w:t>
      </w:r>
      <w:r w:rsidRPr="00716615">
        <w:rPr>
          <w:rFonts w:ascii="Calibri" w:eastAsia="Times New Roman" w:hAnsi="Calibri" w:cs="Times New Roman"/>
          <w:i/>
        </w:rPr>
        <w:t>Aesthetics and the Sciences of Mind</w:t>
      </w:r>
      <w:r w:rsidRPr="00716615">
        <w:rPr>
          <w:rFonts w:ascii="Calibri" w:eastAsia="Times New Roman" w:hAnsi="Calibri" w:cs="Times New Roman"/>
        </w:rPr>
        <w:t>. Oxford: OUP.</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Cutting, James (2003). ‘Gustave Caillebotte, French Impressionism, and Mere Exposure,’ </w:t>
      </w:r>
      <w:r w:rsidRPr="00716615">
        <w:rPr>
          <w:rFonts w:ascii="Calibri" w:eastAsia="Times New Roman" w:hAnsi="Calibri" w:cs="Times New Roman"/>
          <w:i/>
        </w:rPr>
        <w:t>Psychonomic Bulletin and Review</w:t>
      </w:r>
      <w:r w:rsidRPr="00716615">
        <w:rPr>
          <w:rFonts w:ascii="Calibri" w:eastAsia="Times New Roman" w:hAnsi="Calibri" w:cs="Times New Roman"/>
        </w:rPr>
        <w:t xml:space="preserve"> 10(2), 319-343. </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Gendler, Tamar Szabó and Karson Kovakovich (2005). ‘Genuine Rational Fictional Emotions,’ in </w:t>
      </w:r>
      <w:r w:rsidRPr="00716615">
        <w:rPr>
          <w:rFonts w:ascii="Calibri" w:eastAsia="Times New Roman" w:hAnsi="Calibri" w:cs="Times New Roman"/>
          <w:i/>
        </w:rPr>
        <w:t>Contemporary Debates in Aesthetics and the Philosophy of Art</w:t>
      </w:r>
      <w:r w:rsidRPr="00716615">
        <w:rPr>
          <w:rFonts w:ascii="Calibri" w:eastAsia="Times New Roman" w:hAnsi="Calibri" w:cs="Times New Roman"/>
        </w:rPr>
        <w:t>, ed. Matthew Kieran. Oxford: Wiley-Blackwell, 241–53.</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Kant, Immanuel (1790/1987). </w:t>
      </w:r>
      <w:r w:rsidRPr="00716615">
        <w:rPr>
          <w:rFonts w:ascii="Calibri" w:eastAsia="Times New Roman" w:hAnsi="Calibri" w:cs="Times New Roman"/>
          <w:i/>
        </w:rPr>
        <w:t>Critique of Judgement</w:t>
      </w:r>
      <w:r w:rsidRPr="00716615">
        <w:rPr>
          <w:rFonts w:ascii="Calibri" w:eastAsia="Times New Roman" w:hAnsi="Calibri" w:cs="Times New Roman"/>
        </w:rPr>
        <w:t xml:space="preserve">, trans. Werner S. Pluhar. Indianapolis, IN: Hackett. </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Meskin, Aaron, Mark Phelan, Margaret Moore and Matthew Kieran (2013). ‘Mere Exposure to Bad Art,’ </w:t>
      </w:r>
      <w:r w:rsidRPr="00716615">
        <w:rPr>
          <w:rFonts w:ascii="Calibri" w:eastAsia="Times New Roman" w:hAnsi="Calibri" w:cs="Times New Roman"/>
          <w:i/>
        </w:rPr>
        <w:t>British Journal of Aesthetics</w:t>
      </w:r>
      <w:r w:rsidRPr="00716615">
        <w:rPr>
          <w:rFonts w:ascii="Calibri" w:eastAsia="Times New Roman" w:hAnsi="Calibri" w:cs="Times New Roman"/>
        </w:rPr>
        <w:t xml:space="preserve"> 53(2), 1-25.</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Sibley, Frank (1959). ‘Aesthetic Concepts,’ Philosophical Review 68(4), 421-450.</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Weinberg, Jonathan and Aaron Meskin (2006). ‘Puzzling Over the Imagination: Philosophical Problems, Architectural Solutions,’ in T</w:t>
      </w:r>
      <w:r w:rsidRPr="00716615">
        <w:rPr>
          <w:rFonts w:ascii="Calibri" w:eastAsia="Times New Roman" w:hAnsi="Calibri" w:cs="Times New Roman"/>
          <w:i/>
          <w:iCs/>
        </w:rPr>
        <w:t>he Architecture of the Imagination: New Essays on Pretence, Possibility, and Fiction</w:t>
      </w:r>
      <w:r w:rsidRPr="00716615">
        <w:rPr>
          <w:rFonts w:ascii="Calibri" w:eastAsia="Times New Roman" w:hAnsi="Calibri" w:cs="Times New Roman"/>
        </w:rPr>
        <w:t>, ed. Shaun Nichols. Oxford: Oxford University Press, 175-202.</w:t>
      </w:r>
    </w:p>
    <w:p w:rsidR="00716615" w:rsidRPr="00716615" w:rsidRDefault="00716615" w:rsidP="00716615">
      <w:pPr>
        <w:spacing w:after="200" w:line="276" w:lineRule="auto"/>
        <w:rPr>
          <w:rFonts w:ascii="Calibri" w:eastAsia="Times New Roman" w:hAnsi="Calibri" w:cs="Times New Roman"/>
        </w:rPr>
      </w:pPr>
      <w:r w:rsidRPr="00716615">
        <w:rPr>
          <w:rFonts w:ascii="Calibri" w:eastAsia="Times New Roman" w:hAnsi="Calibri" w:cs="Times New Roman"/>
        </w:rPr>
        <w:t xml:space="preserve">Wittgenstein, Ludwig (1970). </w:t>
      </w:r>
      <w:r w:rsidRPr="00716615">
        <w:rPr>
          <w:rFonts w:ascii="Calibri" w:eastAsia="Times New Roman" w:hAnsi="Calibri" w:cs="Times New Roman"/>
          <w:i/>
        </w:rPr>
        <w:t>Lectures and Conversations on Aesthetics, Psychology and Religious Belief</w:t>
      </w:r>
      <w:r w:rsidRPr="00716615">
        <w:rPr>
          <w:rFonts w:ascii="Calibri" w:eastAsia="Times New Roman" w:hAnsi="Calibri" w:cs="Times New Roman"/>
        </w:rPr>
        <w:t>, ed. Cyril Barrett. Oxford: Basil Blackwell.</w:t>
      </w:r>
    </w:p>
    <w:p w:rsidR="00663DD0" w:rsidRDefault="00663DD0"/>
    <w:sectPr w:rsidR="00663DD0" w:rsidSect="00BB01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615"/>
    <w:rsid w:val="00663DD0"/>
    <w:rsid w:val="00672F7E"/>
    <w:rsid w:val="007166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867B91-CC71-45D3-8428-FECF3D743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1216</Words>
  <Characters>6933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meskin</dc:creator>
  <cp:keywords/>
  <dc:description/>
  <cp:lastModifiedBy>aaron meskin</cp:lastModifiedBy>
  <cp:revision>2</cp:revision>
  <dcterms:created xsi:type="dcterms:W3CDTF">2016-05-26T08:58:00Z</dcterms:created>
  <dcterms:modified xsi:type="dcterms:W3CDTF">2016-05-26T09:02:00Z</dcterms:modified>
</cp:coreProperties>
</file>